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B4598C">
      <w:pPr>
        <w:jc w:val="center"/>
        <w:rPr>
          <w:rFonts w:hint="eastAsia" w:ascii="仿宋_GB2312" w:hAnsi="Calibri" w:eastAsia="仿宋_GB2312" w:cs="Times New Roman"/>
          <w:b/>
          <w:bCs w:val="0"/>
          <w:sz w:val="36"/>
          <w:szCs w:val="36"/>
        </w:rPr>
      </w:pPr>
      <w:r>
        <w:rPr>
          <w:rFonts w:hint="eastAsia" w:ascii="仿宋_GB2312" w:hAnsi="Calibri" w:eastAsia="仿宋_GB2312" w:cs="Times New Roman"/>
          <w:b/>
          <w:bCs w:val="0"/>
          <w:sz w:val="36"/>
          <w:szCs w:val="36"/>
        </w:rPr>
        <w:t>温州汽摩配产业集聚群园区项目情况说明</w:t>
      </w:r>
      <w:bookmarkStart w:id="0" w:name="_GoBack"/>
      <w:bookmarkEnd w:id="0"/>
    </w:p>
    <w:p w14:paraId="06C22BE9">
      <w:pPr>
        <w:ind w:firstLine="640" w:firstLineChars="200"/>
        <w:rPr>
          <w:rFonts w:ascii="仿宋_GB2312" w:hAnsi="Calibri" w:eastAsia="仿宋_GB2312" w:cs="Times New Roman"/>
          <w:bCs/>
          <w:sz w:val="32"/>
          <w:szCs w:val="32"/>
        </w:rPr>
      </w:pPr>
      <w:r>
        <w:rPr>
          <w:rFonts w:hint="eastAsia" w:ascii="仿宋_GB2312" w:hAnsi="Calibri" w:eastAsia="仿宋_GB2312" w:cs="Times New Roman"/>
          <w:bCs/>
          <w:sz w:val="32"/>
          <w:szCs w:val="32"/>
        </w:rPr>
        <w:t xml:space="preserve">为落实好2025年5月14日温州市链办在浙江松田汽车电机系统有限公司召开的汽车零部件产业发展座谈会精神，温州市汽摩配行业协会于7月2日组织了27家汽车零部件意向用地企业，集中到温州市海经区进行了项目园区现场考察与初步对接。现根据7月9日温州市链办在海经区调研时召集的园区项目交流对接和7月29日由海经区经信局牵头召集的项目园区选址及相关政策交流对接情况，形成实施方案报告如下： </w:t>
      </w:r>
    </w:p>
    <w:p w14:paraId="4FA98115">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一）申请入园企业由温州市汽摩配行业协会组织招引集中申报，企业单独拿地入园。申请入园企业经海经区有关部门调查审核准入后，分别签署拿地入园投资协议，并实行后续厂房建设等全过程跟踪投资。现按照海经区资规部门出具的“海经区温州汽摩配产业集聚群选址示意图”两个方案，决定本次申请园区项目实施方案（一）A-13选址地块用地面积165亩，方案（二）B-10选址地块用地面积201亩，计划在本次园区项目开工建设后组织实施。</w:t>
      </w:r>
    </w:p>
    <w:p w14:paraId="6B4EFF14">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（二）本次项目园区按照“协会集中申报、企业单独拿地、统一设计施工、提供全过程服务”的总体要求组织实施。具体情况如下：</w:t>
      </w:r>
    </w:p>
    <w:p w14:paraId="5CCC8DAA">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1、基于项目园区入园企业数量多且区域分布比较分散等特点，现经8月3日申请入园企业讨论并达成一致意见，对项目园区集中进行统一设计和施工建设，既有利于项目园区工程建设按时保质保量顺利实施，也由于园区厂房实行整体立面设计有利于对外形象。同时，集中进行统一设计与施工组织，其项目总体投资相比较于企业自行安排设计和施工建设，可节减项目园区投资费用和入园企业方面的时间精力投入。</w:t>
      </w:r>
    </w:p>
    <w:p w14:paraId="313C01F7">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2、由温州市汽摩配行业协会牵头组织成立园区项目服务公司，负责对项目园区“统一设计厂房及综合办公、员工宿舍等生活配套设施、统一安排项目园区工程施工建设、统一组织项目园区工程预（竣）工验收、统一协助企业办理不动产产权登记”等，并提供全过程服务。同时，根据入园企业要求，对每家企业实行“独门独户”设计、厂房及综合办公、员工宿舍等生活配套设施“一体化”设计，每家入园企业出入口面向园区（含选址地块园内开设）通行道路，入园企业厂房量身定制设计方案，在征求企业确认后进入施工建设。</w:t>
      </w:r>
    </w:p>
    <w:p w14:paraId="426A1915">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3、组建项目园区服务企业团队，负责对入园企业进行全过程跟踪服务。服务企业团队在确认入园企业准入后，保持开通“温州汽配通”网站，与入园企业在线进行数字化服务对接。</w:t>
      </w:r>
    </w:p>
    <w:p w14:paraId="2D17D6ED">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4、为保证入园企业前期承诺诚意度，项目服务公司与入园企业签署相关服务协议，在海经区有关部门对入园企业调查审核准入后至供地程序启动之前，由入园企业向项目服务公司预交厂房工程建设（地价款除外）投资额约1%的诚意金，在入园企业首次进行厂房建设工程款投资时扣减。</w:t>
      </w:r>
    </w:p>
    <w:p w14:paraId="76FD90DB">
      <w:pPr>
        <w:ind w:firstLine="640" w:firstLineChars="200"/>
        <w:rPr>
          <w:rFonts w:hint="eastAsia" w:ascii="仿宋_GB2312" w:hAnsi="Calibri" w:eastAsia="仿宋_GB2312" w:cs="Times New Roman"/>
          <w:b/>
          <w:sz w:val="32"/>
          <w:szCs w:val="32"/>
        </w:rPr>
      </w:pPr>
      <w:r>
        <w:rPr>
          <w:rFonts w:hint="eastAsia" w:ascii="仿宋_GB2312" w:hAnsi="Calibri" w:eastAsia="仿宋_GB2312" w:cs="Times New Roman"/>
          <w:bCs/>
          <w:sz w:val="32"/>
          <w:szCs w:val="32"/>
        </w:rPr>
        <w:t>5、项目服务公司运营成本和项目园区建设全过程现场监管团队、法律服务团队、财务管理团队、服务企业团队等费用，已经8月3日申请入园企业讨论同意，以运营托管代理服务费用计入厂房建设综合造价。</w:t>
      </w:r>
    </w:p>
    <w:p w14:paraId="30D3048B">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（三）申请入园企业资格和预期达产考核指标。</w:t>
      </w:r>
    </w:p>
    <w:p w14:paraId="1AA6E3D8">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1、申请入园企业资格条件：</w:t>
      </w:r>
    </w:p>
    <w:p w14:paraId="038E8A48">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--2024年度销售收入4000万元以上，个别企业执行标准视申请入园企业实际情况审核确定。</w:t>
      </w:r>
    </w:p>
    <w:p w14:paraId="55AE84B4">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--国家（省级）高新技术企业、省级以上科技型中小企业、专精特新企业、与新能源主机厂或本市链主龙头配套企业、产品出口占比50%以上企业优先。</w:t>
      </w:r>
    </w:p>
    <w:p w14:paraId="59928736">
      <w:pPr>
        <w:numPr>
          <w:ilvl w:val="0"/>
          <w:numId w:val="1"/>
        </w:num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预期达产考核指标：</w:t>
      </w:r>
    </w:p>
    <w:p w14:paraId="57120A20">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--亩均固定资产投资500万元/亩以上；</w:t>
      </w:r>
    </w:p>
    <w:p w14:paraId="656606B2">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--达产后亩均年销售收入450万元/亩以上；</w:t>
      </w:r>
    </w:p>
    <w:p w14:paraId="16307788">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--达产后亩均年缴纳综合税收32万元/亩以上。</w:t>
      </w:r>
    </w:p>
    <w:p w14:paraId="757B3B57">
      <w:pPr>
        <w:ind w:firstLine="640" w:firstLineChars="200"/>
        <w:rPr>
          <w:rFonts w:hint="eastAsia" w:ascii="仿宋_GB2312" w:hAnsi="Calibri" w:eastAsia="仿宋_GB2312" w:cs="Times New Roman"/>
          <w:b/>
          <w:sz w:val="32"/>
          <w:szCs w:val="32"/>
        </w:rPr>
      </w:pPr>
      <w:r>
        <w:rPr>
          <w:rFonts w:hint="eastAsia" w:ascii="仿宋_GB2312" w:hAnsi="Calibri" w:eastAsia="仿宋_GB2312" w:cs="Times New Roman"/>
          <w:bCs/>
          <w:sz w:val="32"/>
          <w:szCs w:val="32"/>
        </w:rPr>
        <w:t>（四）不动产权证办理和达产指标考核期限</w:t>
      </w:r>
      <w:r>
        <w:rPr>
          <w:rFonts w:hint="eastAsia" w:ascii="仿宋_GB2312" w:hAnsi="Calibri" w:eastAsia="仿宋_GB2312" w:cs="Times New Roman"/>
          <w:b/>
          <w:sz w:val="32"/>
          <w:szCs w:val="32"/>
        </w:rPr>
        <w:t>。</w:t>
      </w:r>
    </w:p>
    <w:p w14:paraId="6A348020">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1、项目园区建设完成竣工验收且入园企业正式投产后，即由企业单独办理不动产产权登记。</w:t>
      </w:r>
    </w:p>
    <w:p w14:paraId="3E7472D8">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2、入园企业连续达产指标考核期限为5年。</w:t>
      </w:r>
    </w:p>
    <w:p w14:paraId="3F06BE7F">
      <w:pPr>
        <w:ind w:firstLine="640" w:firstLineChars="200"/>
        <w:rPr>
          <w:rFonts w:hint="eastAsia" w:ascii="仿宋_GB2312" w:hAnsi="Calibri" w:eastAsia="仿宋_GB2312" w:cs="Times New Roman"/>
          <w:b/>
          <w:sz w:val="32"/>
          <w:szCs w:val="32"/>
        </w:rPr>
      </w:pPr>
      <w:r>
        <w:rPr>
          <w:rFonts w:hint="eastAsia" w:ascii="仿宋_GB2312" w:hAnsi="Calibri" w:eastAsia="仿宋_GB2312" w:cs="Times New Roman"/>
          <w:bCs/>
          <w:sz w:val="32"/>
          <w:szCs w:val="32"/>
        </w:rPr>
        <w:t>（五）供地价格、厂房建设标准及综合定价</w:t>
      </w:r>
      <w:r>
        <w:rPr>
          <w:rFonts w:hint="eastAsia" w:ascii="仿宋_GB2312" w:hAnsi="Calibri" w:eastAsia="仿宋_GB2312" w:cs="Times New Roman"/>
          <w:b/>
          <w:sz w:val="32"/>
          <w:szCs w:val="32"/>
        </w:rPr>
        <w:t>。</w:t>
      </w:r>
    </w:p>
    <w:p w14:paraId="3703A4D3">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1、供地价格按市场评估价预计在53万元/亩左右。</w:t>
      </w:r>
    </w:p>
    <w:p w14:paraId="032DC356">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2、厂房建筑一般不高于24米、 员工宿舍及生活配套设施建筑一般不高于24米、整体指标容积率不低于2.50。</w:t>
      </w:r>
    </w:p>
    <w:p w14:paraId="140A6D39">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3、厂房消防设计等级按照戊类厂房标准设计施工，经审查需采用丁类或丙类厂房消防等级设计施工的企业，对超出标准部分投资费用另计。</w:t>
      </w:r>
    </w:p>
    <w:p w14:paraId="37522DAB">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4、</w:t>
      </w:r>
      <w:r>
        <w:rPr>
          <w:rFonts w:hint="eastAsia" w:ascii="仿宋_GB2312" w:hAnsi="仿宋" w:eastAsia="仿宋_GB2312" w:cs="仿宋"/>
          <w:sz w:val="32"/>
          <w:szCs w:val="32"/>
        </w:rPr>
        <w:t>项目园区按照汽车零部件工业厂房标准设计施工，部分入园企业对厂房量身定制有特殊要求的，需根据海经区有关部门相关规定建设标准执行，其中对超出设计施工标准范围的投资费用另计。</w:t>
      </w:r>
    </w:p>
    <w:p w14:paraId="2F2B5E4F">
      <w:pPr>
        <w:ind w:firstLine="640" w:firstLineChars="200"/>
        <w:rPr>
          <w:rFonts w:hint="eastAsia" w:ascii="仿宋_GB2312" w:hAnsi="Calibri" w:eastAsia="仿宋_GB2312" w:cs="Times New Roman"/>
          <w:bCs/>
          <w:sz w:val="32"/>
          <w:szCs w:val="32"/>
        </w:rPr>
      </w:pPr>
      <w:r>
        <w:rPr>
          <w:rFonts w:hint="eastAsia" w:ascii="仿宋_GB2312" w:hAnsi="Calibri" w:eastAsia="仿宋_GB2312" w:cs="Times New Roman"/>
          <w:bCs/>
          <w:sz w:val="32"/>
          <w:szCs w:val="32"/>
        </w:rPr>
        <w:t>5、项目园区实行交钥匙工程，入园企业厂房建设综合定价为1780元/每平方米。</w:t>
      </w:r>
    </w:p>
    <w:p w14:paraId="58A6C39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800040101010101"/>
    <w:charset w:val="86"/>
    <w:family w:val="auto"/>
    <w:pitch w:val="default"/>
    <w:sig w:usb0="00000001" w:usb1="080F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F64A3"/>
    <w:multiLevelType w:val="singleLevel"/>
    <w:tmpl w:val="949F64A3"/>
    <w:lvl w:ilvl="0" w:tentative="0">
      <w:start w:val="2"/>
      <w:numFmt w:val="decimal"/>
      <w:suff w:val="nothing"/>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B71"/>
    <w:rsid w:val="00873801"/>
    <w:rsid w:val="00C71B71"/>
    <w:rsid w:val="FF7F6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265</Words>
  <Characters>1514</Characters>
  <Lines>12</Lines>
  <Paragraphs>3</Paragraphs>
  <TotalTime>4</TotalTime>
  <ScaleCrop>false</ScaleCrop>
  <LinksUpToDate>false</LinksUpToDate>
  <CharactersWithSpaces>1776</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2025-10-22T10:43:00Z</dcterms:created>
  <dc:creator>NWH</dc:creator>
  <cp:lastModifiedBy>Nice</cp:lastModifiedBy>
  <dcterms:modified xsi:type="dcterms:W3CDTF">2025-10-23T10:26:20Z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2832586E76C5FD0A4C92F9681E4DCCD9_42</vt:lpwstr>
  </property>
</Properties>
</file>